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703" w:rsidRDefault="00B27703" w:rsidP="00B2770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7D5173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</w:p>
    <w:p w:rsidR="00B27703" w:rsidRDefault="00B27703" w:rsidP="00B27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27703" w:rsidRDefault="00B27703" w:rsidP="00B277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WYKAZ GMINNYCH JEDNOSTEK ORGANIZACYJNYCH OBJĘTYCH DOSTAWĄ WĘGLA</w:t>
      </w:r>
    </w:p>
    <w:tbl>
      <w:tblPr>
        <w:tblStyle w:val="Tabela-Siatka"/>
        <w:tblpPr w:leftFromText="141" w:rightFromText="141" w:vertAnchor="text" w:tblpY="333"/>
        <w:tblW w:w="0" w:type="auto"/>
        <w:tblLook w:val="04A0" w:firstRow="1" w:lastRow="0" w:firstColumn="1" w:lastColumn="0" w:noHBand="0" w:noVBand="1"/>
      </w:tblPr>
      <w:tblGrid>
        <w:gridCol w:w="570"/>
        <w:gridCol w:w="3649"/>
        <w:gridCol w:w="4993"/>
      </w:tblGrid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649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i adres jednostki</w:t>
            </w:r>
          </w:p>
        </w:tc>
        <w:tc>
          <w:tcPr>
            <w:tcW w:w="4993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Zespół Szkolno-Przedszkolny w Będkowie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11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Podmiot systemu oświaty (zwolniony z podatku akcyzowego na podstawie art. 31a ust. 1 pkt 3 ustawy z dnia 6 grudnia 2008 r. o podatku akcyzowym (t.j. Dz. U. z 2020 r., poz. 722 ze zm.))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22A8">
              <w:rPr>
                <w:rFonts w:ascii="Times New Roman" w:hAnsi="Times New Roman" w:cs="Times New Roman"/>
                <w:sz w:val="24"/>
                <w:szCs w:val="24"/>
              </w:rPr>
              <w:t xml:space="preserve">Lokale mieszkalne 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11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artykułu 31a ust. 1 pkt 3 ustawy z dnia 6 grudnia 2008 r. o podatku akcyzowym (t.j. Dz. U. z 2020 r., poz. 733, ze zm.))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9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artykułu 31a ust. 1 pkt 3 ustawy z dnia 6 grudnia 2008 r. o podatku akcyzowym (t.j. Dz. U. z 2020 r., poz. 733, ze zm.))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Warszawska 4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artykułu 31a ust. 1 pkt 3 ustawy z dnia 6 grudnia 2008 r. o podatku akcyzowym (t.j. Dz. U. z 2020 r., poz. 733, ze zm.))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7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artykułu 31a ust. 1 pkt 3 ustawy z dnia 6 grudnia 2008 r. o podatku akcyzowym (t.j. Dz. U. z 2020 r., poz. 733, ze zm.))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Gminna Biblioteka Publiczna w Będkowie oraz Gabinet Weterynaryjny w Będkowie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7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podlega zwolnieniu z podatku akcyzowego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Lokale mieszkalne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4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Gospodarstwa domowe (zwolniony z podatku akcyzowego na podstawie artykułu 31a ust. 1 pkt 3 ustawy z dnia 6 grudnia 2008 r. o podatku akcyzowym (t.j. Dz. U. z 2020 r., poz. 733, ze zm.))</w:t>
            </w:r>
          </w:p>
        </w:tc>
      </w:tr>
      <w:tr w:rsidR="00990D62" w:rsidTr="00990D62">
        <w:tc>
          <w:tcPr>
            <w:tcW w:w="570" w:type="dxa"/>
          </w:tcPr>
          <w:p w:rsidR="00990D62" w:rsidRDefault="00990D62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3649" w:type="dxa"/>
            <w:vAlign w:val="center"/>
          </w:tcPr>
          <w:p w:rsidR="00990D62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 ZOZ Gminny Ośrodek Zdrowia</w:t>
            </w:r>
          </w:p>
          <w:p w:rsidR="00990D62" w:rsidRPr="009322A8" w:rsidRDefault="00990D62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Będków, ul. Reymonta 8</w:t>
            </w:r>
          </w:p>
        </w:tc>
        <w:tc>
          <w:tcPr>
            <w:tcW w:w="4993" w:type="dxa"/>
            <w:vAlign w:val="center"/>
          </w:tcPr>
          <w:p w:rsidR="00990D62" w:rsidRPr="009322A8" w:rsidRDefault="00990D62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Podmiot leczniczy (zwolniony z podatku akcyzowego na podstawie art. 31a ust.1 pkt 3 ustawy z dnia 6 grudnia 2008 r. o podatku akcyzowym (t.j. Dz. U. z 2020 r., poz. 733, ze zm.))</w:t>
            </w:r>
          </w:p>
        </w:tc>
      </w:tr>
      <w:tr w:rsidR="006E6A8D" w:rsidTr="00990D62">
        <w:tc>
          <w:tcPr>
            <w:tcW w:w="570" w:type="dxa"/>
          </w:tcPr>
          <w:p w:rsidR="006E6A8D" w:rsidRDefault="006E6A8D" w:rsidP="0099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3649" w:type="dxa"/>
            <w:vAlign w:val="center"/>
          </w:tcPr>
          <w:p w:rsidR="006E6A8D" w:rsidRDefault="006E6A8D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Gminy Będków</w:t>
            </w:r>
          </w:p>
          <w:p w:rsidR="006E6A8D" w:rsidRDefault="006E6A8D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Parkowa 3</w:t>
            </w:r>
          </w:p>
          <w:p w:rsidR="006E6A8D" w:rsidRDefault="006E6A8D" w:rsidP="00990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97-319 Będków</w:t>
            </w:r>
          </w:p>
        </w:tc>
        <w:tc>
          <w:tcPr>
            <w:tcW w:w="4993" w:type="dxa"/>
            <w:vAlign w:val="center"/>
          </w:tcPr>
          <w:p w:rsidR="006E6A8D" w:rsidRDefault="006E6A8D" w:rsidP="00990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jest nałożona akcyza</w:t>
            </w:r>
          </w:p>
        </w:tc>
      </w:tr>
    </w:tbl>
    <w:p w:rsidR="00B27703" w:rsidRPr="00B27703" w:rsidRDefault="00B27703" w:rsidP="00C90303">
      <w:pPr>
        <w:rPr>
          <w:rFonts w:ascii="Times New Roman" w:hAnsi="Times New Roman" w:cs="Times New Roman"/>
          <w:b/>
          <w:sz w:val="24"/>
          <w:szCs w:val="24"/>
        </w:rPr>
      </w:pPr>
    </w:p>
    <w:sectPr w:rsidR="00B27703" w:rsidRPr="00B27703" w:rsidSect="00897CAC">
      <w:headerReference w:type="default" r:id="rId7"/>
      <w:pgSz w:w="11906" w:h="16838"/>
      <w:pgMar w:top="109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585" w:rsidRDefault="005D0585" w:rsidP="00897CAC">
      <w:pPr>
        <w:spacing w:after="0" w:line="240" w:lineRule="auto"/>
      </w:pPr>
      <w:r>
        <w:separator/>
      </w:r>
    </w:p>
  </w:endnote>
  <w:endnote w:type="continuationSeparator" w:id="0">
    <w:p w:rsidR="005D0585" w:rsidRDefault="005D0585" w:rsidP="00897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585" w:rsidRDefault="005D0585" w:rsidP="00897CAC">
      <w:pPr>
        <w:spacing w:after="0" w:line="240" w:lineRule="auto"/>
      </w:pPr>
      <w:r>
        <w:separator/>
      </w:r>
    </w:p>
  </w:footnote>
  <w:footnote w:type="continuationSeparator" w:id="0">
    <w:p w:rsidR="005D0585" w:rsidRDefault="005D0585" w:rsidP="00897C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CAC" w:rsidRDefault="00897CAC" w:rsidP="00897CAC">
    <w:pPr>
      <w:pStyle w:val="Nagwek"/>
      <w:rPr>
        <w:rFonts w:ascii="Times New Roman" w:hAnsi="Times New Roman" w:cs="Times New Roman"/>
        <w:sz w:val="20"/>
        <w:szCs w:val="20"/>
      </w:rPr>
    </w:pPr>
    <w:r w:rsidRPr="00897CAC">
      <w:rPr>
        <w:rFonts w:ascii="Times New Roman" w:hAnsi="Times New Roman" w:cs="Times New Roman"/>
        <w:sz w:val="20"/>
        <w:szCs w:val="20"/>
      </w:rPr>
      <w:t xml:space="preserve">Nr sprawy: </w:t>
    </w:r>
    <w:r>
      <w:rPr>
        <w:rFonts w:ascii="Times New Roman" w:hAnsi="Times New Roman" w:cs="Times New Roman"/>
        <w:sz w:val="20"/>
        <w:szCs w:val="20"/>
      </w:rPr>
      <w:t>ZP.271.14.2021</w:t>
    </w:r>
  </w:p>
  <w:p w:rsidR="00897CAC" w:rsidRPr="00897CAC" w:rsidRDefault="00897CAC" w:rsidP="00897CAC">
    <w:pPr>
      <w:pStyle w:val="Nagwek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703"/>
    <w:rsid w:val="0013399F"/>
    <w:rsid w:val="00174A6A"/>
    <w:rsid w:val="00201358"/>
    <w:rsid w:val="005D0585"/>
    <w:rsid w:val="006800E0"/>
    <w:rsid w:val="006E6A8D"/>
    <w:rsid w:val="0070748D"/>
    <w:rsid w:val="00785DDB"/>
    <w:rsid w:val="007D5173"/>
    <w:rsid w:val="00897CAC"/>
    <w:rsid w:val="009322A8"/>
    <w:rsid w:val="009414D1"/>
    <w:rsid w:val="00990D62"/>
    <w:rsid w:val="009E308B"/>
    <w:rsid w:val="00B27703"/>
    <w:rsid w:val="00B677CA"/>
    <w:rsid w:val="00BB52FB"/>
    <w:rsid w:val="00C90303"/>
    <w:rsid w:val="00CB6D81"/>
    <w:rsid w:val="00CC4261"/>
    <w:rsid w:val="00E61C80"/>
    <w:rsid w:val="00EE697D"/>
    <w:rsid w:val="00EF5A2F"/>
    <w:rsid w:val="00F54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7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C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7CAC"/>
  </w:style>
  <w:style w:type="paragraph" w:styleId="Stopka">
    <w:name w:val="footer"/>
    <w:basedOn w:val="Normalny"/>
    <w:link w:val="StopkaZnak"/>
    <w:uiPriority w:val="99"/>
    <w:unhideWhenUsed/>
    <w:rsid w:val="00897C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7C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7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C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7CAC"/>
  </w:style>
  <w:style w:type="paragraph" w:styleId="Stopka">
    <w:name w:val="footer"/>
    <w:basedOn w:val="Normalny"/>
    <w:link w:val="StopkaZnak"/>
    <w:uiPriority w:val="99"/>
    <w:unhideWhenUsed/>
    <w:rsid w:val="00897C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7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Gospodarka</dc:creator>
  <cp:lastModifiedBy>Aneta Kowara</cp:lastModifiedBy>
  <cp:revision>4</cp:revision>
  <cp:lastPrinted>2021-08-26T07:47:00Z</cp:lastPrinted>
  <dcterms:created xsi:type="dcterms:W3CDTF">2021-09-07T14:06:00Z</dcterms:created>
  <dcterms:modified xsi:type="dcterms:W3CDTF">2021-09-15T06:21:00Z</dcterms:modified>
</cp:coreProperties>
</file>