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D68" w:rsidRDefault="00115D68" w:rsidP="00115D68">
      <w:r>
        <w:t>Protokół nr 8. 2014</w:t>
      </w:r>
    </w:p>
    <w:p w:rsidR="00115D68" w:rsidRDefault="00115D68" w:rsidP="00115D68">
      <w:r>
        <w:t>posiedzenia Komisji Rewizyjnej Rady Gminy w Będkowie</w:t>
      </w:r>
    </w:p>
    <w:p w:rsidR="00115D68" w:rsidRDefault="00115D68" w:rsidP="00115D68">
      <w:r>
        <w:t>z dnia 18 września 2014 r.</w:t>
      </w:r>
    </w:p>
    <w:p w:rsidR="00115D68" w:rsidRDefault="00115D68" w:rsidP="00115D68"/>
    <w:p w:rsidR="00115D68" w:rsidRDefault="00115D68" w:rsidP="00115D68">
      <w:r>
        <w:t>Członkowie Komisji obecni na posiedzeniu:</w:t>
      </w:r>
    </w:p>
    <w:p w:rsidR="00115D68" w:rsidRDefault="00115D68" w:rsidP="00115D68">
      <w:pPr>
        <w:pStyle w:val="Akapitzlist"/>
        <w:numPr>
          <w:ilvl w:val="0"/>
          <w:numId w:val="1"/>
        </w:numPr>
      </w:pPr>
      <w:r>
        <w:t>Szulc Edyta</w:t>
      </w:r>
    </w:p>
    <w:p w:rsidR="00115D68" w:rsidRDefault="00115D68" w:rsidP="00115D68">
      <w:pPr>
        <w:pStyle w:val="Akapitzlist"/>
        <w:numPr>
          <w:ilvl w:val="0"/>
          <w:numId w:val="1"/>
        </w:numPr>
      </w:pPr>
      <w:r>
        <w:t>Dziurdzia Witold</w:t>
      </w:r>
    </w:p>
    <w:p w:rsidR="00115D68" w:rsidRDefault="00115D68" w:rsidP="00115D68">
      <w:r>
        <w:t xml:space="preserve">      3.   </w:t>
      </w:r>
      <w:proofErr w:type="spellStart"/>
      <w:r>
        <w:t>Chrustowski</w:t>
      </w:r>
      <w:proofErr w:type="spellEnd"/>
      <w:r>
        <w:t xml:space="preserve"> Tadeusz</w:t>
      </w:r>
    </w:p>
    <w:p w:rsidR="00115D68" w:rsidRDefault="00115D68" w:rsidP="00115D68">
      <w:r>
        <w:t xml:space="preserve">      4.   Pietrasik Henryka</w:t>
      </w:r>
    </w:p>
    <w:p w:rsidR="00115D68" w:rsidRDefault="00115D68" w:rsidP="00115D68">
      <w:r>
        <w:t xml:space="preserve">      5.   Sałata Mirosław</w:t>
      </w:r>
    </w:p>
    <w:p w:rsidR="00115D68" w:rsidRDefault="00115D68" w:rsidP="00115D68"/>
    <w:p w:rsidR="00054FA3" w:rsidRDefault="00054FA3" w:rsidP="00054FA3">
      <w:pPr>
        <w:jc w:val="both"/>
      </w:pPr>
      <w:r>
        <w:t>W posiedzeniu udział wzięli:</w:t>
      </w:r>
    </w:p>
    <w:p w:rsidR="00054FA3" w:rsidRDefault="00054FA3" w:rsidP="00054FA3">
      <w:pPr>
        <w:pStyle w:val="Akapitzlist"/>
        <w:numPr>
          <w:ilvl w:val="0"/>
          <w:numId w:val="3"/>
        </w:numPr>
        <w:jc w:val="both"/>
      </w:pPr>
      <w:r>
        <w:t>Wójt Gminy – Lesław Kołodziejczyk</w:t>
      </w:r>
    </w:p>
    <w:p w:rsidR="00054FA3" w:rsidRDefault="00054FA3" w:rsidP="00054FA3">
      <w:pPr>
        <w:pStyle w:val="Akapitzlist"/>
        <w:numPr>
          <w:ilvl w:val="0"/>
          <w:numId w:val="3"/>
        </w:numPr>
        <w:jc w:val="both"/>
      </w:pPr>
      <w:r>
        <w:t>Skarbnik Gminy – Małgorzata Jabłońska</w:t>
      </w:r>
    </w:p>
    <w:p w:rsidR="00115D68" w:rsidRDefault="00115D68" w:rsidP="00115D68"/>
    <w:p w:rsidR="00115D68" w:rsidRDefault="00115D68" w:rsidP="00115D68">
      <w:r>
        <w:t>Porządek posiedzenia:</w:t>
      </w:r>
    </w:p>
    <w:p w:rsidR="00115D68" w:rsidRDefault="00115D68" w:rsidP="00115D68">
      <w:r>
        <w:t>1. Otwarcie posiedzenia i stwierdzenie prawomocności obrad.</w:t>
      </w:r>
    </w:p>
    <w:p w:rsidR="00115D68" w:rsidRDefault="00115D68" w:rsidP="00115D68">
      <w:r>
        <w:t>2</w:t>
      </w:r>
      <w:r w:rsidR="00725AED">
        <w:t>. Przyjęcie porządku obrad</w:t>
      </w:r>
      <w:r w:rsidR="00054FA3">
        <w:t>.</w:t>
      </w:r>
    </w:p>
    <w:p w:rsidR="00054FA3" w:rsidRDefault="00054FA3" w:rsidP="00054FA3">
      <w:pPr>
        <w:jc w:val="both"/>
      </w:pPr>
      <w:r>
        <w:t>3. Zapoznanie się z:</w:t>
      </w:r>
    </w:p>
    <w:p w:rsidR="00054FA3" w:rsidRDefault="00054FA3" w:rsidP="00054FA3">
      <w:pPr>
        <w:jc w:val="both"/>
      </w:pPr>
      <w:r>
        <w:t xml:space="preserve">1/ wnioskami pokontrolnymi z przeprowadzonej kompleksowej kontroli gospodarki finansowej i zamówień publicznych w gminie Będków w dniach 24 lutego 2014 r. – 16 kwietnia 2014 r. przez Regionalną Izbę Obrachunkową w Łodzi, przekazanymi pismem </w:t>
      </w:r>
      <w:r>
        <w:br/>
        <w:t>z dnia 5 sierpnia 2014 r., znak:WK-602/34/2014,</w:t>
      </w:r>
    </w:p>
    <w:p w:rsidR="00115D68" w:rsidRDefault="00054FA3" w:rsidP="00115D68">
      <w:pPr>
        <w:jc w:val="both"/>
      </w:pPr>
      <w:r>
        <w:t>2/ odpowiedziami Wójta Gminy Będków (z dnia 10 września 2014 r., znak: K.1710.02.2014 r.) na zalecenia pokontrolne wynikające z pisma Regionalnej Izby Obrachunkowej w Łodzi.</w:t>
      </w:r>
    </w:p>
    <w:p w:rsidR="00115D68" w:rsidRDefault="00115D68" w:rsidP="00115D68">
      <w:pPr>
        <w:jc w:val="both"/>
      </w:pPr>
    </w:p>
    <w:p w:rsidR="00115D68" w:rsidRDefault="00115D68" w:rsidP="00115D68">
      <w:pPr>
        <w:jc w:val="both"/>
      </w:pPr>
      <w:r>
        <w:t>Odp. punktu 1.</w:t>
      </w:r>
    </w:p>
    <w:p w:rsidR="00115D68" w:rsidRDefault="00115D68" w:rsidP="00115D68">
      <w:pPr>
        <w:jc w:val="both"/>
      </w:pPr>
      <w:r>
        <w:t>Posiedzenie otworzyła przewodnicząca Komisji Rewizyjnej Rady Gminy w Będkowie Pani Edyta Szulc. Na podstawie listy obecności, załączonej do protokołu posiedzenia, stwierdziła prawomocność obrad.</w:t>
      </w:r>
    </w:p>
    <w:p w:rsidR="00115D68" w:rsidRDefault="00115D68" w:rsidP="00115D68">
      <w:pPr>
        <w:jc w:val="both"/>
      </w:pPr>
    </w:p>
    <w:p w:rsidR="00115D68" w:rsidRDefault="00115D68" w:rsidP="00115D68">
      <w:pPr>
        <w:jc w:val="both"/>
      </w:pPr>
      <w:r>
        <w:t>Odp. punktu 2.</w:t>
      </w:r>
    </w:p>
    <w:p w:rsidR="00115D68" w:rsidRDefault="00115D68" w:rsidP="00115D68">
      <w:pPr>
        <w:jc w:val="both"/>
      </w:pPr>
      <w:r>
        <w:t>Przewodnicząca komisji przedstawiła projekt porządku posiedzenia, a następnie poddała go pod głosowanie. Za przyjęciem porządku posiedzenia głosowało 5 członków komisji.</w:t>
      </w:r>
    </w:p>
    <w:p w:rsidR="00054FA3" w:rsidRDefault="00054FA3" w:rsidP="00115D68">
      <w:pPr>
        <w:jc w:val="both"/>
      </w:pPr>
    </w:p>
    <w:p w:rsidR="00115D68" w:rsidRDefault="00115D68" w:rsidP="00115D68">
      <w:pPr>
        <w:jc w:val="both"/>
      </w:pPr>
      <w:r>
        <w:t>Odp. punktu 3.</w:t>
      </w:r>
    </w:p>
    <w:p w:rsidR="000F7012" w:rsidRDefault="00755F82" w:rsidP="00115D68">
      <w:pPr>
        <w:jc w:val="both"/>
      </w:pPr>
      <w:r>
        <w:t>Komisja zapoznała się z</w:t>
      </w:r>
      <w:r w:rsidR="000F7012">
        <w:t>:</w:t>
      </w:r>
    </w:p>
    <w:p w:rsidR="00755F82" w:rsidRDefault="00DC31F0" w:rsidP="00DC31F0">
      <w:pPr>
        <w:jc w:val="both"/>
      </w:pPr>
      <w:r>
        <w:t xml:space="preserve">1/ </w:t>
      </w:r>
      <w:r w:rsidR="002173D3">
        <w:t xml:space="preserve"> </w:t>
      </w:r>
      <w:r w:rsidR="00755F82">
        <w:t xml:space="preserve"> wnioskami pokontrolnymi z przeprowadzonej kompleksowej kontroli gospodarki finansowej i zamówień publicznych w gminie Będków w dniach 24 lutego 2014 r. – 16 kwietnia 2014 r. przez Regio</w:t>
      </w:r>
      <w:r w:rsidR="008D1D02">
        <w:t>nalną Izbę Obrachunkową w Łodzi, przekazanymi pismem z dnia 5 sierpn</w:t>
      </w:r>
      <w:r w:rsidR="002173D3">
        <w:t>ia 2014 r., znak:WK-602/34/2014,</w:t>
      </w:r>
    </w:p>
    <w:p w:rsidR="002173D3" w:rsidRDefault="002173D3" w:rsidP="00DC31F0">
      <w:pPr>
        <w:jc w:val="both"/>
      </w:pPr>
      <w:r>
        <w:t xml:space="preserve">2/ </w:t>
      </w:r>
      <w:r w:rsidR="00054FA3">
        <w:t xml:space="preserve"> odpowiedziami Wójta Gminy Będków</w:t>
      </w:r>
      <w:r w:rsidR="003955F6">
        <w:t xml:space="preserve"> (z dnia 10 września 2014 r., znak: K.1710.02.2014 r.) na zalecenia pokontrolne wynikające z pisma Regionalnej Izby Obrachunkowej w Łodzi</w:t>
      </w:r>
      <w:r w:rsidR="00054FA3">
        <w:t>:</w:t>
      </w:r>
    </w:p>
    <w:p w:rsidR="00054FA3" w:rsidRDefault="00054FA3" w:rsidP="00DC31F0">
      <w:pPr>
        <w:jc w:val="both"/>
      </w:pPr>
    </w:p>
    <w:p w:rsidR="00054FA3" w:rsidRDefault="00054FA3" w:rsidP="00054FA3">
      <w:r>
        <w:t>Wójt Gminy:</w:t>
      </w:r>
    </w:p>
    <w:p w:rsidR="00054FA3" w:rsidRDefault="00E64E2E" w:rsidP="00054FA3">
      <w:pPr>
        <w:jc w:val="both"/>
      </w:pPr>
      <w:r>
        <w:t>- w</w:t>
      </w:r>
      <w:r w:rsidR="00054FA3">
        <w:t xml:space="preserve"> pierwszej połowie roku 2014 zespół 3 osobowy przeprowadził kompleksową kontrolę </w:t>
      </w:r>
      <w:r>
        <w:br/>
        <w:t xml:space="preserve">w naszym urzędzie; </w:t>
      </w:r>
      <w:r w:rsidR="00054FA3">
        <w:t>była</w:t>
      </w:r>
      <w:r>
        <w:t xml:space="preserve"> ona</w:t>
      </w:r>
      <w:r w:rsidR="00054FA3">
        <w:t xml:space="preserve"> głównie nakierowana na prowadzenie rachunkowości, sprawozdawczości w naszym urzędzie. Istotnym elementem sprawdzanym były umowy  </w:t>
      </w:r>
      <w:r>
        <w:t xml:space="preserve">kredytowe, postępowania przetargowe, kredyty zawierane - </w:t>
      </w:r>
      <w:r w:rsidR="00054FA3">
        <w:t xml:space="preserve">sporo czasu poświęcono zamówieniom publicznym i inwestycjom realizowanym przez gminę – są to takie </w:t>
      </w:r>
      <w:r w:rsidR="00054FA3">
        <w:lastRenderedPageBreak/>
        <w:t>najistotniej</w:t>
      </w:r>
      <w:r w:rsidR="00C232E2">
        <w:t xml:space="preserve">sze kwestie. Tych zaleceń jest </w:t>
      </w:r>
      <w:r w:rsidR="00054FA3">
        <w:t xml:space="preserve">rzeczywiście sporo. Pani kierownik kontroli miała trochę inne spojrzenie – zdecydowanie inne – na sposób prowadzenia rachunkowości </w:t>
      </w:r>
      <w:r w:rsidR="00054FA3">
        <w:br/>
        <w:t>i sprawozdawczości i stąd liczba tych zaleceń. Do tego będzie się merytorycznie odnosić Pani Skarbnik – jej wiedza jest w tym zakresie właściwa (rachunkowość i sprawozdawczość).</w:t>
      </w:r>
    </w:p>
    <w:p w:rsidR="00054FA3" w:rsidRDefault="00054FA3" w:rsidP="00054FA3">
      <w:pPr>
        <w:jc w:val="both"/>
      </w:pPr>
      <w:r>
        <w:t>Punkt 46 dotyczy bez-przetargowych umów naj</w:t>
      </w:r>
      <w:r w:rsidR="00683E7F">
        <w:t>mu;  w czasie kontroli zarzucono</w:t>
      </w:r>
      <w:r>
        <w:t xml:space="preserve"> nam, że umowę najmu lokalu użytkowego, czyli naszych garaży Wójt zawarł bez postępowania przetargowego na okres dłuższy niż </w:t>
      </w:r>
      <w:r w:rsidR="00AB0138">
        <w:t>3 lata; rzeczywiście tak było (</w:t>
      </w:r>
      <w:r>
        <w:t>garaż P. Szymańskich, P.</w:t>
      </w:r>
      <w:r w:rsidR="00683E7F">
        <w:t xml:space="preserve"> </w:t>
      </w:r>
      <w:proofErr w:type="spellStart"/>
      <w:r w:rsidR="00683E7F">
        <w:t>Śniegulów</w:t>
      </w:r>
      <w:proofErr w:type="spellEnd"/>
      <w:r w:rsidR="00683E7F">
        <w:t xml:space="preserve"> i P. Koryckiego – ja</w:t>
      </w:r>
      <w:r w:rsidR="00AB0138">
        <w:t xml:space="preserve"> </w:t>
      </w:r>
      <w:r w:rsidR="00683E7F">
        <w:t>-</w:t>
      </w:r>
      <w:r w:rsidR="00AB0138">
        <w:t xml:space="preserve"> </w:t>
      </w:r>
      <w:r w:rsidR="00683E7F">
        <w:t>jakby ze świadomością, że</w:t>
      </w:r>
      <w:r>
        <w:t xml:space="preserve"> może być zalecenie w tym względzie, uznałem, nie chciałem wychodzić z propozycją umowy rocznej, skoro te </w:t>
      </w:r>
      <w:r w:rsidR="00AB0138">
        <w:t xml:space="preserve">garaże potracili, chciałem </w:t>
      </w:r>
      <w:r>
        <w:t>taki stan zalegalizować, aby mieli te garaże na czas nieokreślony i pewność korzystania z tych garaży; odpowiadamy, że będziemy się w przyszłości stosować do tego przepisu (najem obiektów komunalnych powyżej 3 lat będzie realizowany na zasadzie postępowań przetargowych</w:t>
      </w:r>
      <w:r w:rsidR="00AB0138">
        <w:t>)</w:t>
      </w:r>
      <w:r>
        <w:t>. Chciałem te sprawy uregulować nawet kosztem tego zalecenia. Jeżeli chodzi o cały blok zamówień publicznych – dość dużo czasu kontrola na to poświęciła, obejmując prawie ws</w:t>
      </w:r>
      <w:r w:rsidR="00683E7F">
        <w:t>zystkie postępowania kredytowe -</w:t>
      </w:r>
      <w:r>
        <w:t xml:space="preserve"> sporo inwestycji wybrali do sprawdzenia. W jednym przypadku inwestycji tej kanalizacyjnej – ostatniej Będków</w:t>
      </w:r>
      <w:r w:rsidR="00306D3C">
        <w:t xml:space="preserve"> </w:t>
      </w:r>
      <w:r w:rsidR="00D91A63">
        <w:t xml:space="preserve">- </w:t>
      </w:r>
      <w:r>
        <w:t>Zacharz</w:t>
      </w:r>
      <w:r w:rsidR="00D91A63">
        <w:t xml:space="preserve"> </w:t>
      </w:r>
      <w:r>
        <w:t>-</w:t>
      </w:r>
      <w:r w:rsidR="00D91A63">
        <w:t xml:space="preserve"> </w:t>
      </w:r>
      <w:r>
        <w:t>Nowiny – w trzech podpunktach Pani nam wskazała, że powinniśmy  usprawnić swoje działania. Pierwsze to, że nie wszczęliśmy procedury – mieliśmy kosztorys na ponad 5 mln zł, cena ofertowa była na 2.440 tysięcy zł. Zdaniem Pani powinniśmy wszcząć procedurę wyja</w:t>
      </w:r>
      <w:r w:rsidR="00657CD3">
        <w:t>śniającą w kierunku zbadania raż</w:t>
      </w:r>
      <w:r>
        <w:t>ąco niskiej ceny – czy firma jest w stanie zrobić za taką cenę. Teraz jest nowelizacja pr</w:t>
      </w:r>
      <w:r w:rsidR="00733046">
        <w:t>awa zamówień publicznych – więc</w:t>
      </w:r>
      <w:r>
        <w:t xml:space="preserve"> będzie obowiązek. Przedtem nic tego nie normowało. Ja odpisałem informację taką na</w:t>
      </w:r>
      <w:r w:rsidR="000229B0">
        <w:t xml:space="preserve"> potrzeby Pani z kontroli, że się kierowałem znajomością </w:t>
      </w:r>
      <w:r>
        <w:t>rynku i wymianą doświadczeń z samorządami, gdzie na inwestycjach kanalizacyjnych ceny schodzą w stosunku do kosztorysów i tym, że przed trzema laty firma ta bezkolizy</w:t>
      </w:r>
      <w:r w:rsidR="001D008F">
        <w:t>jnie za wskazaną cenę, która też</w:t>
      </w:r>
      <w:r>
        <w:t xml:space="preserve"> była blisk</w:t>
      </w:r>
      <w:r w:rsidR="00B267CC">
        <w:t xml:space="preserve">o o połowę ceny niższa od ceny </w:t>
      </w:r>
      <w:r>
        <w:t xml:space="preserve">kosztorysowej, wykonała nam kanalizację, więc uznałem to za przesłanki wystarczające. Teraz przepisy są zmienione i </w:t>
      </w:r>
      <w:r w:rsidR="00794675">
        <w:t>będzie wiadomo, co</w:t>
      </w:r>
      <w:r>
        <w:t xml:space="preserve"> trzeba robić.</w:t>
      </w:r>
    </w:p>
    <w:p w:rsidR="00054FA3" w:rsidRDefault="00054FA3" w:rsidP="00054FA3">
      <w:pPr>
        <w:jc w:val="both"/>
      </w:pPr>
      <w:r>
        <w:t>Drugi zarzut to taki – czasami w specyfikacji gdzieś tam projektant napisze, że np. pompa konkretnej firmy, albo coś takiego, jednak nie może być wskazania konkretnej firmy. My zawsze piszemy – produkt taki lub równoważn</w:t>
      </w:r>
      <w:r w:rsidR="00657CD3">
        <w:t xml:space="preserve">y o parametrach nie </w:t>
      </w:r>
      <w:r>
        <w:t xml:space="preserve">gorszych  niż te wskazane w projekcie. Pani uznała, że </w:t>
      </w:r>
      <w:r w:rsidR="00056AAC">
        <w:t xml:space="preserve">to za mało, że równoważne i nie </w:t>
      </w:r>
      <w:r>
        <w:t xml:space="preserve">gorsze, tylko trzeba jeszcze te parametry opisać, czy ze stali takiej lub innej albo średnia lub nie mniejsza </w:t>
      </w:r>
      <w:r w:rsidR="00922164">
        <w:t xml:space="preserve">od </w:t>
      </w:r>
      <w:r>
        <w:t>tych parametrów.</w:t>
      </w:r>
    </w:p>
    <w:p w:rsidR="00054FA3" w:rsidRDefault="00054FA3" w:rsidP="00054FA3">
      <w:pPr>
        <w:jc w:val="both"/>
      </w:pPr>
      <w:r>
        <w:t xml:space="preserve">Trzeci podpunkt dotyczył: do przetargu przystąpiło 5 firm, w tym dwie o zbliżonej nazwie: </w:t>
      </w:r>
      <w:proofErr w:type="spellStart"/>
      <w:r>
        <w:t>Binstal</w:t>
      </w:r>
      <w:proofErr w:type="spellEnd"/>
      <w:r>
        <w:t xml:space="preserve"> – f</w:t>
      </w:r>
      <w:r w:rsidR="00056AAC">
        <w:t xml:space="preserve">irma Bożeny Tchórz i </w:t>
      </w:r>
      <w:proofErr w:type="spellStart"/>
      <w:r w:rsidR="00056AAC">
        <w:t>Binstal</w:t>
      </w:r>
      <w:proofErr w:type="spellEnd"/>
      <w:r w:rsidR="00056AAC">
        <w:t xml:space="preserve"> </w:t>
      </w:r>
      <w:proofErr w:type="spellStart"/>
      <w:r w:rsidR="00056AAC">
        <w:t>s.c</w:t>
      </w:r>
      <w:proofErr w:type="spellEnd"/>
      <w:r w:rsidR="00056AAC">
        <w:t>.</w:t>
      </w:r>
      <w:r>
        <w:t>. – Honorata Tchórz (</w:t>
      </w:r>
      <w:r w:rsidR="000229B0">
        <w:t>u</w:t>
      </w:r>
      <w:r>
        <w:t>tworzyła swoją firmę). Jedna i druga firma złożyła oferty, w związku z tym, że były pewne cechy podobieństwa (w druku) i że złożone zostały z przesunięciem czasowym 10 minutowym. Jedną z tych ofert wykluczyliśmy, bo żądaliśmy zabezpieczenia na milion złotych na zakup materiału dla zbadania, czy firma byłaby w stanie to zakupić – Pani B. Tchórz złożyła wszystkie niezbędne (w komplecie) dokumenty – natomiast fir</w:t>
      </w:r>
      <w:r w:rsidR="00827842">
        <w:t>ma H. Tchórz s. c. złożyła zabezpieczenie tylko na kwotę</w:t>
      </w:r>
      <w:r>
        <w:t xml:space="preserve"> 700 tysięcy zł i nie uzupełniła do kwoty wymaganej,  więc oferta została odrzucona -  pozostała jedna. Pani z kontroli uznała, że powinienem odrzucić nie jedną a obie</w:t>
      </w:r>
      <w:r w:rsidR="007C1D2B">
        <w:t xml:space="preserve"> firmy</w:t>
      </w:r>
      <w:r>
        <w:t>, ponieważ można domniemywać zmowę cenową – bo skoro nie ma bezpośrednich dowodów istnienia zmowy cenowej, to jednak można taką zmowę domniemać, że firmy te mogły między sobą tę cenę umówić – więc zdaniem Pani należało obie firmy odrzucić, a w konsekwencji wziąć</w:t>
      </w:r>
      <w:r w:rsidR="008750DE">
        <w:t xml:space="preserve"> pod uwagę</w:t>
      </w:r>
      <w:r>
        <w:t xml:space="preserve"> trzecią, która była ponad 600 tysięcy zł droższa. Na to się nie zdecydowałem wiedząc, że ta, która wygrała wszystkie wymogi formalne spełniła. Co ja mogę domniemywać – jedynie to, że działają w dobrej wierze; wchodzi nowy podmiot na rynek, chce się usamodzielnić, przygotować ofertę, i zdobyć jakieś doświadczenie. Dlaczego ja nie mogę pójść ze swoim domniemaniem w tym kierunku. Być może kanalizacji by dzisiaj </w:t>
      </w:r>
      <w:r>
        <w:lastRenderedPageBreak/>
        <w:t xml:space="preserve">nie było, a tak jest zakończona miesiąc przed terminem bez żadnych dodatkowych kosztów. W tym względzie nie mam sobie nic do zarzucenia. Według Pani -  jeżeli nie ma dowodów bezpośredniej zmowy cenowej, to istnieje pojęcie dowodów pośrednich, czyli na zasadzie mniejszego lub większego domniemania istnienia tej zmowy. Ja opierałem się na faktach, </w:t>
      </w:r>
      <w:r w:rsidR="001D5AFE">
        <w:br/>
      </w:r>
      <w:r>
        <w:t>a nie na swoim domniemaniu, czy intuicji własnej.</w:t>
      </w:r>
    </w:p>
    <w:p w:rsidR="00054FA3" w:rsidRDefault="00054FA3" w:rsidP="00054FA3">
      <w:pPr>
        <w:jc w:val="both"/>
      </w:pPr>
      <w:r>
        <w:t>Ponadto Pani nam zarzuciła: jeżeli są jakieś ulgi inwestycyjne, czy też umorzenia w podatku (bo padła krowa), albo też gdy cena żyta została obniżona z 80 zł na 60 zł – to trzeba wykazać  do Ministerstwa skutki tych umorzeń i tego obniżenia ceny lub zwolnienia. Ministerstwo wtedy obniża kwotę subwencji. Pani ponadto zaczęła sobie liczyć na kalkulatorze – sprawdziła jeden przykład i uznała, że program  Groszka  nie wykazuje ulg z tytułu nabycia gruntów, pomimo, że nie jest to ulga gminy, tylko ustawowa, i że powinniśmy te skutki także pokazać. Z tym si</w:t>
      </w:r>
      <w:r w:rsidR="00D238B6">
        <w:t>ę nie zgadzam i polemizuję</w:t>
      </w:r>
      <w:r>
        <w:t xml:space="preserve"> – mieliśmy szkolenie, które prowadziła osoba, pracująca w Izbie Obrachunkowej i potwierdziła nasz punkt wiedzenia.  Będziemy chcieli zwrócić się o oficjalne stanowisko do firmy szkoleniowej i wrócimy do własnego sposobu naliczania.</w:t>
      </w:r>
    </w:p>
    <w:p w:rsidR="00054FA3" w:rsidRDefault="00E1728E" w:rsidP="00054FA3">
      <w:pPr>
        <w:jc w:val="both"/>
      </w:pPr>
      <w:r>
        <w:t xml:space="preserve">Przy </w:t>
      </w:r>
      <w:r w:rsidR="00054FA3">
        <w:t xml:space="preserve">kredytach na przykład zalecenie brzmi: zakładać spłatę kredytu zgodnie </w:t>
      </w:r>
      <w:r w:rsidR="000D2D74">
        <w:br/>
      </w:r>
      <w:r w:rsidR="00054FA3">
        <w:t>z harmonogramem spłat. Mamy na rok 2014 przewidziane w harmonogramie 300 tysięcy zł do spłaty, a my sobie założyliśmy w budżecie 450 tysięcy złotych. Trzeba czytać harmonogram razem z umową, bo umowa w którymś paragrafie dopuszcza możliwość spłaty wcześniejszej  w wyższej kwocie – ja to sobie narzucam specjalnie po to, żeby próg zadłużenia, gdzie tylko będzie możliwe, o jakiś p</w:t>
      </w:r>
      <w:r>
        <w:t>unkt procentowy niwelować.</w:t>
      </w:r>
    </w:p>
    <w:p w:rsidR="00054FA3" w:rsidRDefault="00054FA3" w:rsidP="00054FA3">
      <w:pPr>
        <w:jc w:val="both"/>
      </w:pPr>
      <w:r>
        <w:t>Wójt Gminy, kończąc swoją wypowiedź pytał członków komisji, czy mają pod jego adresem jakieś zapytania. Zapytań do Wójta Gminy ze strony członków komisji nie było.</w:t>
      </w:r>
    </w:p>
    <w:p w:rsidR="000D2D74" w:rsidRDefault="000D2D74" w:rsidP="00054FA3">
      <w:pPr>
        <w:jc w:val="both"/>
      </w:pPr>
    </w:p>
    <w:p w:rsidR="00054FA3" w:rsidRDefault="00054FA3" w:rsidP="00054FA3">
      <w:pPr>
        <w:jc w:val="both"/>
      </w:pPr>
      <w:r>
        <w:t>Skarbnik Gminy:</w:t>
      </w:r>
    </w:p>
    <w:p w:rsidR="00054FA3" w:rsidRDefault="00054FA3" w:rsidP="00054FA3">
      <w:pPr>
        <w:jc w:val="both"/>
      </w:pPr>
      <w:r>
        <w:t>- w związku z tymi zarzutami, zaprosiliśmy w ubiegłym tygodniu Pana, który kiedyś pracował w Izbie, by przeprowadził nam szkolenie (dla 6 osób). Chodzi o to, że instrukcje, które tutaj obowiązują – plan kont, rachunkowości, inwentaryzacyjna, kasowa – wszystkie były</w:t>
      </w:r>
      <w:r w:rsidR="006769DB">
        <w:t xml:space="preserve"> -</w:t>
      </w:r>
      <w:r>
        <w:t xml:space="preserve"> tylko, że były wszystkie złożone w jednym segregatorze – każda oddzielnie z napisem instrukcje. To się teraz nazywa inaczej – polityka zarządcza, więc ten Pan nam przywiózł specjalnie już skonstruowane zarządzenia, jak mamy wprowadzić, co jak ma się nazywać – wszystko to samo tylko w innej formie. Politykę rachunkowości też nam przywiózł. Odpisałam do Izby, że będzie zrobione zgodnie z wymogami – poczyniliśmy starania </w:t>
      </w:r>
      <w:r w:rsidR="00D13D0D">
        <w:br/>
      </w:r>
      <w:r>
        <w:t xml:space="preserve">o szkolenie i materiały. Punktów zaleceń jest dużo, bo 60, i tak: punkt – przestrzegać paragrafu 12 ustawy o rachunkowości, przestrzegać paragrafu 13 ustawy o rachunkowości, </w:t>
      </w:r>
      <w:r w:rsidR="00D13D0D">
        <w:br/>
      </w:r>
      <w:r>
        <w:t>i kolejny – przestrzegać paragrafu 14 – wszystkie paragrafy po kolei i z tego wychodzi 60 punktów. Było błędem – te 20 tysięcy</w:t>
      </w:r>
      <w:r w:rsidR="00D13D0D">
        <w:t xml:space="preserve"> zł</w:t>
      </w:r>
      <w:r>
        <w:t>, które nie uznali</w:t>
      </w:r>
      <w:r w:rsidR="006769DB">
        <w:t>śmy</w:t>
      </w:r>
      <w:r>
        <w:t xml:space="preserve">, było błędem też to, że w podatku na przykład w stosowaniu tych ulg, obniżenia górnych stawek. Pani kazała zrobić korektę sprawozdania za rok 2013. Gdy zadzwoniłam do Izby – tam, gdzie odbierają te sprawozdania i mówię, że prześlę to sprawozdanie za rok 2013 – uzyskałam odpowiedź, że przecież wg Ministerstwa nie robi się korekty – jeżeli pomyliłam się w tym kwartale (wpisana błędna kwota) – to korektę trzeba dokonać w następnym kwartale (czyli narastająco), gdy pomyłka nastąpiła w rocznym sprawozdaniu – to wtedy się wnosi poprawkę. Napisałam, że będę się do tego stosować. Jeżeli chodzi o te górne stawki, bo to był główny punkt – na podstawie przeliczenia kontrolującej; jest tak, że stawki z tabeli wprowadza się i komputer wylicza wszystko, a te 20 tysięcy złotych – to ulgi dla ludzi, którzy zakupili grunty – jest to ulga ministerialna a nie wójta gminy. Będziemy to robić w taki sposób, jak do tej pory, zgodnie z programem – ja tego nie zmienię – jeżeli chodzi o te górne stawki. Gospodarka kasowa:  zapis – brakuje pieniędzy w kasie (kilka tysięcy zł). Najpierw kontrolę sprawowały 3 osoby, w tym 1 osoba zajęła się kontrolą kasy – wszystko było dobrze, po 2 tygodniach ta </w:t>
      </w:r>
      <w:r>
        <w:lastRenderedPageBreak/>
        <w:t xml:space="preserve">osoba została skierowana gdzie indziej, więc pozostały tylko 2 osoby. Protokół pisała ta, która pozostała, czyli już nie sprawdzała dalej kasy, tylko sprawdziła końcówkę i stwierdziła, że w kasie brakuje kilka tysięcy zł. Okazało się – z jej zapisu </w:t>
      </w:r>
      <w:r w:rsidR="00985E1C">
        <w:t>–</w:t>
      </w:r>
      <w:r>
        <w:t xml:space="preserve"> </w:t>
      </w:r>
      <w:r w:rsidR="00985E1C">
        <w:t xml:space="preserve">że brakowało ich </w:t>
      </w:r>
      <w:r>
        <w:t xml:space="preserve">w raporcie. Jeżeli np. pobiera się 12 tysięcy zł, to trzeba mieć wszystkie faktury, a tam było tylko na 5 tysięcy, a te 7 tysięcy zł to były listy naszych wynagrodzeń (wypłaty), więc my nie trzymamy tego pod raportami, bo raporty się trzyma 5 lat, a listy 50 lat (listy są wkładane od razu do innych segregatorów. W kasie zarzucono także, że było korektorem poprawione, a trzeba skreślić i postawić parafkę. W zakresie inwentaryzacji; inwentaryzację obiektów strzeżonych (tam gdzie jest monitoring) robi się co 4 lata, ale robi się także inwentaryzację takiego majątku, który nie jest w ogóle amortyzowany, umarzany – to są grunty. Te grunty od lat mamy te same – w ostatnich 5 latach kupiliśmy działkę w Brzustowie – nic więcej nie było zakupione ani sprzedane, więc trzeba było napisać, że to jest inwentaryzacja polegająca na porównaniu ksiąg, a cena jest ta sama, bo ceny się nie zmienia, gruntów nie umarza się, ani nie amortyzuje – wszystko się zgadzało. Tabela, którą prowadzę od lat została przekazana do kontroli, tylko że w tytule było napisane – nie ze stanu faktycznego – nikt nie sprawdzał tych gruntów, tylko z porównywaniem ksiąg; taki był zarzut. Zarzut jest też taki, aby dobrze rozmieszczać między kontami – 013 i 011: 013 – to są środki trwałe powyżej 3,5 tysiąca zł (np. komputer), a 011- są to inwestycje  (są to kwoty milionowe).  Jest taki zarzut dotyczący sprawozdania – dokonać </w:t>
      </w:r>
      <w:r w:rsidR="008E0C56">
        <w:t>korekty sprawozdania PTB  za r. 2013,</w:t>
      </w:r>
      <w:r>
        <w:t xml:space="preserve"> o czym mówiłam wcześniej, a także – złożyć zaległe deklaracje podatkowe dla gminy w zakresie podatku od nieruchomości, podatku od środków transportowych, wykazać skutki związane z tym sprawozdaniem, ale za rok 2014 dopiero, a nie rok za 2013. Zapewnić prawidłowe wykazywanie w sprawozdaniach Rb27s i PTB danych dotyczących skutków finansowych decyzji wydanych przez organ podatkowy, umorzone odsetki od zaległości podatkowych ujmować wyłącznie w sprawozdaniu Rb27s, a w tym drugim nie, a przecież nie można zrobić jednego bez drugiego. Jeżeli chodzi o szkołę i hydrofornię – są to jednostki nasze, ale nie tak, jak np. ośrodek – powołane przez organ, są to jednostki, które razem współpracują; sprawozdania robimy razem, natomiast księgowanie oddzielnie – w szkole i oddzielnie na hydroforni, więc Pani stwierdziła, że oni mają robić to co miesiąc i przynieś nam, a my to mamy wprowadzić do naszego budżetu; a my wprowadzaliśmy to kwartalnie (tak jak były sporządzane sprawozdania). Na przykład – sporządzić i podawać do publicznej wiadomości wykaz nieruchomości przeznaczonych do oddania w najem – chodzi o  te garaże, że trzeba było wywiesić i ogłosić, a drugi punkt, że jest poniżej 3 lat – i to kolejny punkt. Prowadzić księgę inwentarzową, stanowiącą ewidencję analityczną środków trwałych zgodnie z podziałem rodzajowym i zasadami klasyfikowania – to jest też ustawienie inne</w:t>
      </w:r>
      <w:r w:rsidR="009F5CB9">
        <w:t>j</w:t>
      </w:r>
      <w:r>
        <w:t xml:space="preserve"> tabelki. Do dwóch kredytów dostaliśmy opinie, a zarzut był, że do zaciąganych kredytów musimy mieć opinie z Regionalnej Izby Obrachunkowej – to teraz jest tak, wcześniej nie było takich wymagań, ale Pani wróciła do kredytów, które były dużo wcześnie</w:t>
      </w:r>
      <w:r w:rsidR="008E0C56">
        <w:t>j</w:t>
      </w:r>
      <w:r>
        <w:t xml:space="preserve"> (a wcześniej Bank nie żądał  opinii RIO), a oni sprawdzali niby dwa lata, a doszli do roku 2009.</w:t>
      </w:r>
    </w:p>
    <w:p w:rsidR="00115D68" w:rsidRDefault="00115D68" w:rsidP="00115D68">
      <w:pPr>
        <w:tabs>
          <w:tab w:val="left" w:pos="5877"/>
        </w:tabs>
        <w:jc w:val="both"/>
      </w:pPr>
    </w:p>
    <w:p w:rsidR="00115D68" w:rsidRDefault="00115D68" w:rsidP="00115D68">
      <w:pPr>
        <w:jc w:val="both"/>
      </w:pPr>
      <w:r>
        <w:t>Na tym protokół zakończono.</w:t>
      </w:r>
    </w:p>
    <w:p w:rsidR="00115D68" w:rsidRDefault="00115D68" w:rsidP="00115D68">
      <w:pPr>
        <w:jc w:val="both"/>
      </w:pPr>
    </w:p>
    <w:p w:rsidR="00115D68" w:rsidRDefault="00115D68" w:rsidP="00115D68">
      <w:pPr>
        <w:jc w:val="both"/>
      </w:pPr>
      <w:r>
        <w:t>Protokołowała:                                                                             Przewodnicząca Komisji</w:t>
      </w:r>
    </w:p>
    <w:p w:rsidR="00115D68" w:rsidRDefault="00115D68" w:rsidP="00115D68">
      <w:pPr>
        <w:jc w:val="both"/>
      </w:pPr>
    </w:p>
    <w:p w:rsidR="00115D68" w:rsidRDefault="00115D68" w:rsidP="00115D68">
      <w:r>
        <w:t xml:space="preserve">Józefa Kubala – inspektor                                  </w:t>
      </w:r>
      <w:r w:rsidR="006F3344">
        <w:t xml:space="preserve">                               </w:t>
      </w:r>
      <w:r>
        <w:t>mgr Edyta Szulc</w:t>
      </w:r>
    </w:p>
    <w:p w:rsidR="00A3655C" w:rsidRDefault="00A3655C"/>
    <w:sectPr w:rsidR="00A3655C" w:rsidSect="00A3655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D3C" w:rsidRDefault="00306D3C" w:rsidP="00306D3C">
      <w:r>
        <w:separator/>
      </w:r>
    </w:p>
  </w:endnote>
  <w:endnote w:type="continuationSeparator" w:id="0">
    <w:p w:rsidR="00306D3C" w:rsidRDefault="00306D3C" w:rsidP="00306D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387222"/>
      <w:docPartObj>
        <w:docPartGallery w:val="Page Numbers (Bottom of Page)"/>
        <w:docPartUnique/>
      </w:docPartObj>
    </w:sdtPr>
    <w:sdtContent>
      <w:p w:rsidR="00306D3C" w:rsidRDefault="00740AEE">
        <w:pPr>
          <w:pStyle w:val="Stopka"/>
          <w:jc w:val="center"/>
        </w:pPr>
        <w:fldSimple w:instr=" PAGE   \* MERGEFORMAT ">
          <w:r w:rsidR="009F5CB9">
            <w:rPr>
              <w:noProof/>
            </w:rPr>
            <w:t>4</w:t>
          </w:r>
        </w:fldSimple>
      </w:p>
    </w:sdtContent>
  </w:sdt>
  <w:p w:rsidR="00306D3C" w:rsidRDefault="00306D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D3C" w:rsidRDefault="00306D3C" w:rsidP="00306D3C">
      <w:r>
        <w:separator/>
      </w:r>
    </w:p>
  </w:footnote>
  <w:footnote w:type="continuationSeparator" w:id="0">
    <w:p w:rsidR="00306D3C" w:rsidRDefault="00306D3C" w:rsidP="00306D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20610"/>
    <w:multiLevelType w:val="hybridMultilevel"/>
    <w:tmpl w:val="5E94BB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C4E6D"/>
    <w:multiLevelType w:val="hybridMultilevel"/>
    <w:tmpl w:val="B276D3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8A5777"/>
    <w:multiLevelType w:val="hybridMultilevel"/>
    <w:tmpl w:val="B9F44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5D68"/>
    <w:rsid w:val="000229B0"/>
    <w:rsid w:val="00054FA3"/>
    <w:rsid w:val="00056AAC"/>
    <w:rsid w:val="000D2D74"/>
    <w:rsid w:val="000F7012"/>
    <w:rsid w:val="00115D68"/>
    <w:rsid w:val="001D008F"/>
    <w:rsid w:val="001D5AFE"/>
    <w:rsid w:val="002173D3"/>
    <w:rsid w:val="002A2C39"/>
    <w:rsid w:val="00306D3C"/>
    <w:rsid w:val="00337F5D"/>
    <w:rsid w:val="003955F6"/>
    <w:rsid w:val="00430AC1"/>
    <w:rsid w:val="004F3404"/>
    <w:rsid w:val="0052209C"/>
    <w:rsid w:val="00605621"/>
    <w:rsid w:val="00616389"/>
    <w:rsid w:val="00657CD3"/>
    <w:rsid w:val="006769DB"/>
    <w:rsid w:val="00683E7F"/>
    <w:rsid w:val="006F3344"/>
    <w:rsid w:val="00725AED"/>
    <w:rsid w:val="00733046"/>
    <w:rsid w:val="00740AEE"/>
    <w:rsid w:val="00755F82"/>
    <w:rsid w:val="00794675"/>
    <w:rsid w:val="007C1D2B"/>
    <w:rsid w:val="00827842"/>
    <w:rsid w:val="008750DE"/>
    <w:rsid w:val="008D1D02"/>
    <w:rsid w:val="008E0C56"/>
    <w:rsid w:val="00922164"/>
    <w:rsid w:val="00926D61"/>
    <w:rsid w:val="00964CDE"/>
    <w:rsid w:val="00985E1C"/>
    <w:rsid w:val="009D0789"/>
    <w:rsid w:val="009F5CB9"/>
    <w:rsid w:val="00A3655C"/>
    <w:rsid w:val="00AA4E7C"/>
    <w:rsid w:val="00AB0138"/>
    <w:rsid w:val="00AD1DB3"/>
    <w:rsid w:val="00AE1523"/>
    <w:rsid w:val="00B267CC"/>
    <w:rsid w:val="00C232E2"/>
    <w:rsid w:val="00D13D0D"/>
    <w:rsid w:val="00D238B6"/>
    <w:rsid w:val="00D91A63"/>
    <w:rsid w:val="00DC31F0"/>
    <w:rsid w:val="00E1728E"/>
    <w:rsid w:val="00E64E2E"/>
    <w:rsid w:val="00EE3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D68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5D6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06D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6D3C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6D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6D3C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4</Pages>
  <Words>2046</Words>
  <Characters>12280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Józefa Kubala</cp:lastModifiedBy>
  <cp:revision>41</cp:revision>
  <dcterms:created xsi:type="dcterms:W3CDTF">2014-10-14T11:45:00Z</dcterms:created>
  <dcterms:modified xsi:type="dcterms:W3CDTF">2014-10-17T05:04:00Z</dcterms:modified>
</cp:coreProperties>
</file>